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CF" w:rsidRPr="0080159D" w:rsidRDefault="0080159D" w:rsidP="001103F3">
      <w:pPr>
        <w:spacing w:line="240" w:lineRule="auto"/>
        <w:jc w:val="center"/>
        <w:rPr>
          <w:b/>
          <w:sz w:val="36"/>
          <w:szCs w:val="36"/>
        </w:rPr>
      </w:pPr>
      <w:r w:rsidRPr="0080159D">
        <w:rPr>
          <w:b/>
          <w:sz w:val="36"/>
          <w:szCs w:val="36"/>
        </w:rPr>
        <w:t>Анкета для заключения договора сервисного обслуживания ККМ.</w:t>
      </w:r>
    </w:p>
    <w:p w:rsidR="0080159D" w:rsidRDefault="0080159D" w:rsidP="001103F3">
      <w:pPr>
        <w:spacing w:line="240" w:lineRule="auto"/>
        <w:jc w:val="center"/>
      </w:pPr>
      <w:r>
        <w:t>Для выбора оптимальных услуг по обслуживанию ККМ необходимо заполнить анкету. Количество выбранных услуг, а так же время и скорость их оказания влияет на конечную стоимость обслуживания. На стоимость обслуживания так же влияет модель оборудования: Фискальные регистраторы немного дороже в обслуживании, чем Автономные кассовые аппараты. Так же в обслуживание могут быть включены торговые весы.</w:t>
      </w:r>
    </w:p>
    <w:p w:rsidR="00533D37" w:rsidRDefault="00533D37" w:rsidP="001103F3">
      <w:pPr>
        <w:spacing w:line="240" w:lineRule="auto"/>
        <w:jc w:val="center"/>
      </w:pPr>
      <w:r>
        <w:t xml:space="preserve">Все услуги разделены на две колонки. В левой колонке указаны самостоятельные услуги, оказание которых не зависит от наличия других услуг. </w:t>
      </w:r>
      <w:r w:rsidR="0080159D">
        <w:t>Часть оказываемых услуг не может</w:t>
      </w:r>
      <w:r>
        <w:t xml:space="preserve"> быть оказана отдельно от других услуг, такие услуги являются связанными и указаны в правой колонке. Они связаны с теми услугами, которые находятся с ними в одной строчке.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890"/>
        <w:gridCol w:w="2015"/>
        <w:gridCol w:w="1255"/>
        <w:gridCol w:w="969"/>
        <w:gridCol w:w="824"/>
        <w:gridCol w:w="2505"/>
        <w:gridCol w:w="1255"/>
      </w:tblGrid>
      <w:tr w:rsidR="00DE15F4" w:rsidTr="00C62838">
        <w:tc>
          <w:tcPr>
            <w:tcW w:w="462" w:type="dxa"/>
          </w:tcPr>
          <w:p w:rsidR="00DE15F4" w:rsidRDefault="00DE15F4" w:rsidP="00C62838">
            <w:pPr>
              <w:jc w:val="center"/>
            </w:pPr>
            <w:r>
              <w:t>отметка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Код услуги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Наименование услуги</w:t>
            </w:r>
          </w:p>
        </w:tc>
        <w:tc>
          <w:tcPr>
            <w:tcW w:w="1255" w:type="dxa"/>
          </w:tcPr>
          <w:p w:rsidR="00DE15F4" w:rsidRDefault="00DE15F4" w:rsidP="00C62838">
            <w:pPr>
              <w:jc w:val="center"/>
            </w:pPr>
            <w:r>
              <w:t>Стоимость, руб. мес.</w:t>
            </w:r>
          </w:p>
        </w:tc>
        <w:tc>
          <w:tcPr>
            <w:tcW w:w="558" w:type="dxa"/>
          </w:tcPr>
          <w:p w:rsidR="00DE15F4" w:rsidRDefault="00DE15F4" w:rsidP="00C62838">
            <w:pPr>
              <w:jc w:val="center"/>
            </w:pPr>
            <w:r>
              <w:t>отметка</w:t>
            </w: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  <w:r>
              <w:t>Код услуги</w:t>
            </w: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  <w:r>
              <w:t>Наименование услуги</w:t>
            </w:r>
          </w:p>
        </w:tc>
        <w:tc>
          <w:tcPr>
            <w:tcW w:w="1255" w:type="dxa"/>
          </w:tcPr>
          <w:p w:rsidR="00DE15F4" w:rsidRDefault="00DE15F4" w:rsidP="00C62838">
            <w:pPr>
              <w:jc w:val="center"/>
            </w:pPr>
            <w:r>
              <w:t>Стоимость, руб. мес.</w:t>
            </w:r>
          </w:p>
        </w:tc>
      </w:tr>
      <w:tr w:rsidR="00DE15F4" w:rsidRPr="00346525" w:rsidTr="00C62838">
        <w:tc>
          <w:tcPr>
            <w:tcW w:w="462" w:type="dxa"/>
          </w:tcPr>
          <w:p w:rsidR="00DE15F4" w:rsidRPr="00552F1A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Pr="00552F1A" w:rsidRDefault="00DE15F4" w:rsidP="00C62838">
            <w:pPr>
              <w:jc w:val="center"/>
            </w:pPr>
            <w:r w:rsidRPr="00552F1A">
              <w:t>1</w:t>
            </w:r>
          </w:p>
        </w:tc>
        <w:tc>
          <w:tcPr>
            <w:tcW w:w="2279" w:type="dxa"/>
          </w:tcPr>
          <w:p w:rsidR="00DE15F4" w:rsidRPr="003916B2" w:rsidRDefault="00DE15F4" w:rsidP="00C62838">
            <w:pPr>
              <w:jc w:val="center"/>
            </w:pPr>
            <w:r>
              <w:t>Заключение договора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0</w:t>
            </w:r>
          </w:p>
        </w:tc>
        <w:tc>
          <w:tcPr>
            <w:tcW w:w="558" w:type="dxa"/>
          </w:tcPr>
          <w:p w:rsidR="00DE15F4" w:rsidRDefault="00DE15F4" w:rsidP="00C62838">
            <w:pPr>
              <w:jc w:val="center"/>
            </w:pPr>
            <w:r w:rsidRPr="00552F1A">
              <w:t xml:space="preserve">[ </w:t>
            </w:r>
            <w:r>
              <w:t xml:space="preserve"> </w:t>
            </w:r>
            <w:r w:rsidRPr="00552F1A">
              <w:t>]</w:t>
            </w: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</w:tr>
      <w:tr w:rsidR="00DE15F4" w:rsidRPr="00346525" w:rsidTr="00C62838">
        <w:tc>
          <w:tcPr>
            <w:tcW w:w="462" w:type="dxa"/>
          </w:tcPr>
          <w:p w:rsidR="00DE15F4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Pr="00552F1A" w:rsidRDefault="00DE15F4" w:rsidP="00C62838">
            <w:pPr>
              <w:jc w:val="center"/>
            </w:pPr>
            <w:r w:rsidRPr="00552F1A">
              <w:t>2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Консультации с 9 до 18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100</w:t>
            </w:r>
          </w:p>
        </w:tc>
        <w:tc>
          <w:tcPr>
            <w:tcW w:w="558" w:type="dxa"/>
          </w:tcPr>
          <w:p w:rsidR="00DE15F4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  <w:r>
              <w:t>4</w:t>
            </w: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  <w:r>
              <w:t>Выезд инженера с 9 до 18 и работы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150</w:t>
            </w:r>
          </w:p>
        </w:tc>
      </w:tr>
      <w:tr w:rsidR="00DE15F4" w:rsidRPr="00346525" w:rsidTr="00C62838">
        <w:tc>
          <w:tcPr>
            <w:tcW w:w="462" w:type="dxa"/>
          </w:tcPr>
          <w:p w:rsidR="00DE15F4" w:rsidRPr="005A760A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Pr="00533D37" w:rsidRDefault="00DE15F4" w:rsidP="00C628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Консультации с 18 до 23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30</w:t>
            </w:r>
          </w:p>
        </w:tc>
        <w:tc>
          <w:tcPr>
            <w:tcW w:w="558" w:type="dxa"/>
          </w:tcPr>
          <w:p w:rsidR="00DE15F4" w:rsidRPr="005A760A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  <w:r>
              <w:t>5</w:t>
            </w: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  <w:r>
              <w:t>Выезд инженера с 18 до 23 и работы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30</w:t>
            </w:r>
          </w:p>
        </w:tc>
      </w:tr>
      <w:tr w:rsidR="00DE15F4" w:rsidRPr="00346525" w:rsidTr="00C62838">
        <w:tc>
          <w:tcPr>
            <w:tcW w:w="462" w:type="dxa"/>
          </w:tcPr>
          <w:p w:rsidR="00DE15F4" w:rsidRPr="005A760A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Pr="003916B2" w:rsidRDefault="00DE15F4" w:rsidP="00C628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Консультации с 23 до 8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20</w:t>
            </w:r>
          </w:p>
        </w:tc>
        <w:tc>
          <w:tcPr>
            <w:tcW w:w="558" w:type="dxa"/>
          </w:tcPr>
          <w:p w:rsidR="00DE15F4" w:rsidRPr="005A760A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  <w:r>
              <w:t>6</w:t>
            </w: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  <w:r>
              <w:t>Выезд инженера с 23 до 8 и работы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20</w:t>
            </w:r>
          </w:p>
        </w:tc>
      </w:tr>
      <w:tr w:rsidR="00DE15F4" w:rsidRPr="00346525" w:rsidTr="00C62838">
        <w:tc>
          <w:tcPr>
            <w:tcW w:w="462" w:type="dxa"/>
          </w:tcPr>
          <w:p w:rsidR="00DE15F4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DE15F4" w:rsidRPr="005A760A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  <w:r>
              <w:t>7</w:t>
            </w: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  <w:r>
              <w:t>Выезд и консультации в выходные и праздничные дни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10</w:t>
            </w:r>
          </w:p>
        </w:tc>
      </w:tr>
      <w:tr w:rsidR="00DE15F4" w:rsidRPr="00346525" w:rsidTr="00C62838">
        <w:tc>
          <w:tcPr>
            <w:tcW w:w="462" w:type="dxa"/>
          </w:tcPr>
          <w:p w:rsidR="00DE15F4" w:rsidRPr="005A760A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8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Доставка документов, счетов, актов выполненных работ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10</w:t>
            </w:r>
          </w:p>
        </w:tc>
        <w:tc>
          <w:tcPr>
            <w:tcW w:w="558" w:type="dxa"/>
          </w:tcPr>
          <w:p w:rsidR="00DE15F4" w:rsidRPr="005A760A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  <w:r>
              <w:t>10</w:t>
            </w: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  <w:r>
              <w:t>Оформление документов о замене ЭКЛЗ и ФП, смене места установки, замене ЖКО.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10</w:t>
            </w:r>
          </w:p>
        </w:tc>
      </w:tr>
      <w:tr w:rsidR="00DE15F4" w:rsidRPr="00346525" w:rsidTr="00C62838">
        <w:tc>
          <w:tcPr>
            <w:tcW w:w="462" w:type="dxa"/>
          </w:tcPr>
          <w:p w:rsidR="00DE15F4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DE15F4" w:rsidRPr="005A760A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  <w:r>
              <w:t>9</w:t>
            </w: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  <w:r>
              <w:t>Доставка оборудования в ЦТО для ремонта и обратно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10</w:t>
            </w:r>
          </w:p>
        </w:tc>
      </w:tr>
      <w:tr w:rsidR="00DE15F4" w:rsidRPr="00346525" w:rsidTr="00C62838">
        <w:tc>
          <w:tcPr>
            <w:tcW w:w="462" w:type="dxa"/>
          </w:tcPr>
          <w:p w:rsidR="00DE15F4" w:rsidRPr="005A760A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11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Срок реакции от 1 часа до 4ех часов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10</w:t>
            </w:r>
          </w:p>
        </w:tc>
        <w:tc>
          <w:tcPr>
            <w:tcW w:w="558" w:type="dxa"/>
          </w:tcPr>
          <w:p w:rsidR="00DE15F4" w:rsidRPr="003916B2" w:rsidRDefault="00DE15F4" w:rsidP="00C62838">
            <w:pPr>
              <w:jc w:val="center"/>
            </w:pP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</w:tr>
      <w:tr w:rsidR="00DE15F4" w:rsidRPr="00346525" w:rsidTr="00C62838">
        <w:tc>
          <w:tcPr>
            <w:tcW w:w="462" w:type="dxa"/>
          </w:tcPr>
          <w:p w:rsidR="00DE15F4" w:rsidRPr="003916B2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12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Срок реакции от 4ех часов до 8 часов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5</w:t>
            </w:r>
          </w:p>
        </w:tc>
        <w:tc>
          <w:tcPr>
            <w:tcW w:w="558" w:type="dxa"/>
          </w:tcPr>
          <w:p w:rsidR="00DE15F4" w:rsidRPr="003916B2" w:rsidRDefault="00DE15F4" w:rsidP="00C62838">
            <w:pPr>
              <w:jc w:val="center"/>
            </w:pP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</w:tr>
      <w:tr w:rsidR="00DE15F4" w:rsidRPr="00346525" w:rsidTr="00C62838">
        <w:tc>
          <w:tcPr>
            <w:tcW w:w="462" w:type="dxa"/>
          </w:tcPr>
          <w:p w:rsidR="00DE15F4" w:rsidRPr="003916B2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13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Срок реакции от 8 часов до 16 часов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 w:rsidRPr="00346525">
              <w:rPr>
                <w:b/>
              </w:rPr>
              <w:t>0</w:t>
            </w:r>
          </w:p>
        </w:tc>
        <w:tc>
          <w:tcPr>
            <w:tcW w:w="558" w:type="dxa"/>
          </w:tcPr>
          <w:p w:rsidR="00DE15F4" w:rsidRPr="003916B2" w:rsidRDefault="00DE15F4" w:rsidP="00C62838">
            <w:pPr>
              <w:jc w:val="center"/>
            </w:pP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</w:tr>
      <w:tr w:rsidR="00DE15F4" w:rsidRPr="00346525" w:rsidTr="00C62838">
        <w:tc>
          <w:tcPr>
            <w:tcW w:w="462" w:type="dxa"/>
          </w:tcPr>
          <w:p w:rsidR="00DE15F4" w:rsidRPr="005A760A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14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Коэффициент для г. Ухта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558" w:type="dxa"/>
          </w:tcPr>
          <w:p w:rsidR="00DE15F4" w:rsidRPr="003916B2" w:rsidRDefault="00DE15F4" w:rsidP="00C62838">
            <w:pPr>
              <w:jc w:val="center"/>
            </w:pP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</w:tr>
      <w:tr w:rsidR="00DE15F4" w:rsidRPr="00346525" w:rsidTr="00C62838">
        <w:tc>
          <w:tcPr>
            <w:tcW w:w="462" w:type="dxa"/>
          </w:tcPr>
          <w:p w:rsidR="00DE15F4" w:rsidRPr="003916B2" w:rsidRDefault="00DE15F4" w:rsidP="00C62838">
            <w:pPr>
              <w:jc w:val="center"/>
            </w:pPr>
            <w:r w:rsidRPr="00346525"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15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Коэффициент для г. Печора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DE15F4" w:rsidRPr="003916B2" w:rsidRDefault="00DE15F4" w:rsidP="00C62838">
            <w:pPr>
              <w:jc w:val="center"/>
            </w:pP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</w:tr>
      <w:tr w:rsidR="00DE15F4" w:rsidRPr="00346525" w:rsidTr="00C62838">
        <w:tc>
          <w:tcPr>
            <w:tcW w:w="462" w:type="dxa"/>
          </w:tcPr>
          <w:p w:rsidR="00DE15F4" w:rsidRPr="003916B2" w:rsidRDefault="00DE15F4" w:rsidP="00C62838">
            <w:pPr>
              <w:jc w:val="center"/>
            </w:pPr>
            <w:r w:rsidRPr="00346525"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16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Коэффициент для г. Усинск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DE15F4" w:rsidRPr="003916B2" w:rsidRDefault="00DE15F4" w:rsidP="00C62838">
            <w:pPr>
              <w:jc w:val="center"/>
            </w:pP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</w:tr>
      <w:tr w:rsidR="00DE15F4" w:rsidRPr="00346525" w:rsidTr="00C62838">
        <w:tc>
          <w:tcPr>
            <w:tcW w:w="462" w:type="dxa"/>
          </w:tcPr>
          <w:p w:rsidR="00DE15F4" w:rsidRPr="003916B2" w:rsidRDefault="00DE15F4" w:rsidP="00C62838">
            <w:pPr>
              <w:jc w:val="center"/>
            </w:pPr>
            <w:r w:rsidRPr="00346525"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17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Коэффициент для г. Воркута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DE15F4" w:rsidRPr="003916B2" w:rsidRDefault="00DE15F4" w:rsidP="00C62838">
            <w:pPr>
              <w:jc w:val="center"/>
            </w:pP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</w:tr>
      <w:tr w:rsidR="00DE15F4" w:rsidRPr="00346525" w:rsidTr="00C62838">
        <w:tc>
          <w:tcPr>
            <w:tcW w:w="462" w:type="dxa"/>
          </w:tcPr>
          <w:p w:rsidR="00DE15F4" w:rsidRPr="003916B2" w:rsidRDefault="00DE15F4" w:rsidP="00C62838">
            <w:pPr>
              <w:jc w:val="center"/>
            </w:pPr>
            <w:r w:rsidRPr="00346525"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18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Автономная ККМ</w:t>
            </w:r>
          </w:p>
        </w:tc>
        <w:tc>
          <w:tcPr>
            <w:tcW w:w="1255" w:type="dxa"/>
          </w:tcPr>
          <w:p w:rsidR="00DE15F4" w:rsidRPr="00346525" w:rsidRDefault="006D61B6" w:rsidP="00C62838">
            <w:pPr>
              <w:jc w:val="center"/>
              <w:rPr>
                <w:b/>
              </w:rPr>
            </w:pPr>
            <w:r>
              <w:rPr>
                <w:b/>
              </w:rPr>
              <w:t>0.66</w:t>
            </w:r>
          </w:p>
        </w:tc>
        <w:tc>
          <w:tcPr>
            <w:tcW w:w="558" w:type="dxa"/>
          </w:tcPr>
          <w:p w:rsidR="00DE15F4" w:rsidRPr="003916B2" w:rsidRDefault="00DE15F4" w:rsidP="00C62838">
            <w:pPr>
              <w:jc w:val="center"/>
            </w:pP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</w:tr>
      <w:tr w:rsidR="00DE15F4" w:rsidRPr="00346525" w:rsidTr="00C62838">
        <w:tc>
          <w:tcPr>
            <w:tcW w:w="462" w:type="dxa"/>
          </w:tcPr>
          <w:p w:rsidR="00DE15F4" w:rsidRPr="003916B2" w:rsidRDefault="00DE15F4" w:rsidP="00C62838">
            <w:pPr>
              <w:jc w:val="center"/>
            </w:pPr>
            <w:r w:rsidRPr="00312F03">
              <w:rPr>
                <w:lang w:val="en-US"/>
              </w:rPr>
              <w:t>[  ]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19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>Весы с печатью этикеток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>
              <w:rPr>
                <w:b/>
              </w:rPr>
              <w:t>0.6</w:t>
            </w:r>
          </w:p>
        </w:tc>
        <w:tc>
          <w:tcPr>
            <w:tcW w:w="558" w:type="dxa"/>
          </w:tcPr>
          <w:p w:rsidR="00DE15F4" w:rsidRPr="003916B2" w:rsidRDefault="00DE15F4" w:rsidP="00C62838">
            <w:pPr>
              <w:jc w:val="center"/>
            </w:pPr>
            <w:r w:rsidRPr="00312F03">
              <w:rPr>
                <w:lang w:val="en-US"/>
              </w:rPr>
              <w:t>[  ]</w:t>
            </w: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  <w:r>
              <w:t>20</w:t>
            </w:r>
          </w:p>
        </w:tc>
        <w:tc>
          <w:tcPr>
            <w:tcW w:w="3103" w:type="dxa"/>
          </w:tcPr>
          <w:p w:rsidR="00DE15F4" w:rsidRDefault="00DE15F4" w:rsidP="00C62838">
            <w:pPr>
              <w:jc w:val="center"/>
            </w:pPr>
            <w:r>
              <w:t>Весы без печати этикеток, электронные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  <w:r>
              <w:rPr>
                <w:b/>
              </w:rPr>
              <w:t>0.4</w:t>
            </w:r>
          </w:p>
        </w:tc>
      </w:tr>
      <w:tr w:rsidR="00DE15F4" w:rsidRPr="00346525" w:rsidTr="00C62838">
        <w:tc>
          <w:tcPr>
            <w:tcW w:w="462" w:type="dxa"/>
          </w:tcPr>
          <w:p w:rsidR="00DE15F4" w:rsidRPr="00DE15F4" w:rsidRDefault="00DE15F4" w:rsidP="00C62838">
            <w:pPr>
              <w:jc w:val="center"/>
            </w:pPr>
            <w:r>
              <w:t>Х</w:t>
            </w:r>
          </w:p>
        </w:tc>
        <w:tc>
          <w:tcPr>
            <w:tcW w:w="941" w:type="dxa"/>
          </w:tcPr>
          <w:p w:rsidR="00DE15F4" w:rsidRDefault="00DE15F4" w:rsidP="00C62838">
            <w:pPr>
              <w:jc w:val="center"/>
            </w:pPr>
            <w:r>
              <w:t>21</w:t>
            </w:r>
          </w:p>
        </w:tc>
        <w:tc>
          <w:tcPr>
            <w:tcW w:w="2279" w:type="dxa"/>
          </w:tcPr>
          <w:p w:rsidR="00DE15F4" w:rsidRDefault="00DE15F4" w:rsidP="00C62838">
            <w:pPr>
              <w:jc w:val="center"/>
            </w:pPr>
            <w:r>
              <w:t xml:space="preserve">Замена ЭКЛЗ по </w:t>
            </w:r>
            <w:r>
              <w:lastRenderedPageBreak/>
              <w:t>предоплате на основании выставленных счетов.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  <w:tc>
          <w:tcPr>
            <w:tcW w:w="558" w:type="dxa"/>
          </w:tcPr>
          <w:p w:rsidR="00DE15F4" w:rsidRPr="003916B2" w:rsidRDefault="00DE15F4" w:rsidP="00C62838">
            <w:pPr>
              <w:jc w:val="center"/>
            </w:pPr>
            <w:r>
              <w:rPr>
                <w:lang w:val="en-US"/>
              </w:rPr>
              <w:t>[  ]</w:t>
            </w:r>
          </w:p>
        </w:tc>
        <w:tc>
          <w:tcPr>
            <w:tcW w:w="829" w:type="dxa"/>
          </w:tcPr>
          <w:p w:rsidR="00DE15F4" w:rsidRDefault="00DE15F4" w:rsidP="00C62838">
            <w:pPr>
              <w:jc w:val="center"/>
            </w:pPr>
            <w:r>
              <w:t>22</w:t>
            </w:r>
          </w:p>
        </w:tc>
        <w:tc>
          <w:tcPr>
            <w:tcW w:w="3103" w:type="dxa"/>
          </w:tcPr>
          <w:p w:rsidR="00DE15F4" w:rsidRPr="00ED4932" w:rsidRDefault="00DE15F4" w:rsidP="00C62838">
            <w:pPr>
              <w:tabs>
                <w:tab w:val="center" w:pos="1144"/>
              </w:tabs>
            </w:pPr>
            <w:r>
              <w:tab/>
              <w:t>Специальные условия</w:t>
            </w:r>
          </w:p>
        </w:tc>
        <w:tc>
          <w:tcPr>
            <w:tcW w:w="1255" w:type="dxa"/>
          </w:tcPr>
          <w:p w:rsidR="00DE15F4" w:rsidRPr="00346525" w:rsidRDefault="00DE15F4" w:rsidP="00C62838">
            <w:pPr>
              <w:jc w:val="center"/>
              <w:rPr>
                <w:b/>
              </w:rPr>
            </w:pPr>
          </w:p>
        </w:tc>
      </w:tr>
    </w:tbl>
    <w:p w:rsidR="0080159D" w:rsidRDefault="0080159D"/>
    <w:p w:rsidR="00552F1A" w:rsidRDefault="00552F1A"/>
    <w:p w:rsidR="00567C7E" w:rsidRDefault="00567C7E" w:rsidP="001103F3">
      <w:pPr>
        <w:spacing w:line="240" w:lineRule="auto"/>
      </w:pPr>
      <w:r>
        <w:t xml:space="preserve">Примечание: </w:t>
      </w:r>
    </w:p>
    <w:p w:rsidR="00567C7E" w:rsidRDefault="00567C7E" w:rsidP="001103F3">
      <w:pPr>
        <w:pStyle w:val="a4"/>
        <w:numPr>
          <w:ilvl w:val="0"/>
          <w:numId w:val="2"/>
        </w:numPr>
        <w:spacing w:line="240" w:lineRule="auto"/>
      </w:pPr>
      <w:r>
        <w:t xml:space="preserve">Услуга с кодом 1 «Заключение договора» и кодом 2 «Консультации с 9 до 18» могут предоставляться независимо от других услуг. </w:t>
      </w:r>
    </w:p>
    <w:p w:rsidR="00567C7E" w:rsidRDefault="00567C7E" w:rsidP="001103F3">
      <w:pPr>
        <w:pStyle w:val="a4"/>
        <w:numPr>
          <w:ilvl w:val="0"/>
          <w:numId w:val="2"/>
        </w:numPr>
        <w:spacing w:line="240" w:lineRule="auto"/>
      </w:pPr>
      <w:r>
        <w:t>Услуга 2.1 «Консультации с 18 до 23» предоставляется только с услугой с кодом 2 «Консультации с 9 до 18».</w:t>
      </w:r>
    </w:p>
    <w:p w:rsidR="00552F1A" w:rsidRDefault="00552F1A" w:rsidP="001103F3">
      <w:pPr>
        <w:pStyle w:val="a4"/>
        <w:numPr>
          <w:ilvl w:val="0"/>
          <w:numId w:val="2"/>
        </w:numPr>
        <w:spacing w:line="240" w:lineRule="auto"/>
      </w:pPr>
      <w:r>
        <w:t>Услуга 2.2 «Консультации с 23 до 8» предоставляется только совместно с услугами 2 и 2.1.</w:t>
      </w:r>
    </w:p>
    <w:p w:rsidR="00567C7E" w:rsidRDefault="00567C7E" w:rsidP="001103F3">
      <w:pPr>
        <w:pStyle w:val="a4"/>
        <w:numPr>
          <w:ilvl w:val="0"/>
          <w:numId w:val="2"/>
        </w:numPr>
        <w:spacing w:line="240" w:lineRule="auto"/>
      </w:pPr>
      <w:r>
        <w:t>Услуга с кодом 4 «Выезд инженера с 9 до 18» не может предоставляться без услуги с кодом 2 «Консультации с 9 до 18». Для того, что бы вызвать инженера необходимо сначала позвонить диспетчеру. Диспетчер, задавая контрольные вопросы по телефону, диагностирует неисправность, дает рекомендации для её устранения и, в случае невозможности устранить неполадки путем консультации, организует выезд инженера.</w:t>
      </w:r>
    </w:p>
    <w:p w:rsidR="00552F1A" w:rsidRDefault="00552F1A" w:rsidP="001103F3">
      <w:pPr>
        <w:pStyle w:val="a4"/>
        <w:numPr>
          <w:ilvl w:val="0"/>
          <w:numId w:val="2"/>
        </w:numPr>
        <w:spacing w:line="240" w:lineRule="auto"/>
      </w:pPr>
      <w:r>
        <w:t>Услуга с кодом 5 «Выезд инженера с 18 до 23» предоставляется только с услугой 2.1 «Консультации с 18 до 23».</w:t>
      </w:r>
    </w:p>
    <w:p w:rsidR="00552F1A" w:rsidRDefault="00552F1A" w:rsidP="001103F3">
      <w:pPr>
        <w:pStyle w:val="a4"/>
        <w:numPr>
          <w:ilvl w:val="0"/>
          <w:numId w:val="2"/>
        </w:numPr>
        <w:spacing w:line="240" w:lineRule="auto"/>
      </w:pPr>
      <w:r>
        <w:t>Услуга с кодом 6 «Выезд инженера с 23 до 8» предоставляется только с услугой 2.2 «Консультации с 23 до 8»</w:t>
      </w:r>
    </w:p>
    <w:p w:rsidR="00552F1A" w:rsidRDefault="00552F1A" w:rsidP="001103F3">
      <w:pPr>
        <w:pStyle w:val="a4"/>
        <w:numPr>
          <w:ilvl w:val="0"/>
          <w:numId w:val="2"/>
        </w:numPr>
        <w:spacing w:line="240" w:lineRule="auto"/>
      </w:pPr>
      <w:r>
        <w:t>Услуга с кодом 7 «Выезд и консультации в выходные и праздничные дни» подразумевает наличие хотя бы одной из услуг выезда или консультации или их комбинации.</w:t>
      </w:r>
    </w:p>
    <w:p w:rsidR="00552F1A" w:rsidRDefault="00552F1A" w:rsidP="001103F3">
      <w:pPr>
        <w:pStyle w:val="a4"/>
        <w:numPr>
          <w:ilvl w:val="0"/>
          <w:numId w:val="2"/>
        </w:numPr>
        <w:spacing w:line="240" w:lineRule="auto"/>
      </w:pPr>
      <w:r>
        <w:t>Услуга 10 «Оформление документов о замене ЭКЛЗ и ФП, смене места установки, замене ЖКО» подразумевает наличие услуги 8 «Доставка документов, счетов, актов выполненных работ»</w:t>
      </w:r>
      <w:r w:rsidR="00CF36AC">
        <w:t>.</w:t>
      </w:r>
    </w:p>
    <w:p w:rsidR="00CF36AC" w:rsidRDefault="00CF36AC" w:rsidP="001103F3">
      <w:pPr>
        <w:pStyle w:val="a4"/>
        <w:numPr>
          <w:ilvl w:val="0"/>
          <w:numId w:val="2"/>
        </w:numPr>
        <w:spacing w:line="240" w:lineRule="auto"/>
      </w:pPr>
      <w:r>
        <w:t>Услуга 9 «Доставка оборудования в ЦТО для ремонта и обратно» подразумевает наличие хотя бы одной из услуг «Выезд инженера».</w:t>
      </w:r>
    </w:p>
    <w:p w:rsidR="00CF36AC" w:rsidRDefault="00CF36AC" w:rsidP="001103F3">
      <w:pPr>
        <w:pStyle w:val="a4"/>
        <w:spacing w:line="240" w:lineRule="auto"/>
      </w:pPr>
    </w:p>
    <w:p w:rsidR="00CF36AC" w:rsidRDefault="00CF36AC" w:rsidP="001103F3">
      <w:pPr>
        <w:pStyle w:val="a4"/>
        <w:spacing w:line="240" w:lineRule="auto"/>
      </w:pPr>
      <w:r>
        <w:t>Подробнее об услугах:</w:t>
      </w:r>
    </w:p>
    <w:p w:rsidR="00CF36AC" w:rsidRDefault="00CF36AC" w:rsidP="001103F3">
      <w:pPr>
        <w:pStyle w:val="a4"/>
        <w:numPr>
          <w:ilvl w:val="0"/>
          <w:numId w:val="3"/>
        </w:numPr>
        <w:spacing w:line="240" w:lineRule="auto"/>
      </w:pPr>
      <w:r w:rsidRPr="00CF36AC">
        <w:rPr>
          <w:b/>
        </w:rPr>
        <w:t>Заключение договора</w:t>
      </w:r>
      <w:r>
        <w:t xml:space="preserve"> - подразумевает едино разовый переход на ЦТО «Формула торговли» (бесплатный в рамках договора с оформлением всех необходимых документов в налоговых органах) или заключение договора обслуживания при приобретении новой ККМ. Заключение договора сервисного обслуживания не подразумевает регистрацию ККМ в налоговых органах. Услуга «Регистрация ККМ в налоговых органах» предоставляется отдельно</w:t>
      </w:r>
      <w:r w:rsidR="00174432">
        <w:t xml:space="preserve"> согласно прейскуранту</w:t>
      </w:r>
      <w:r>
        <w:t>.</w:t>
      </w:r>
    </w:p>
    <w:p w:rsidR="00CF36AC" w:rsidRDefault="00CF36AC" w:rsidP="001103F3">
      <w:pPr>
        <w:pStyle w:val="a4"/>
        <w:numPr>
          <w:ilvl w:val="0"/>
          <w:numId w:val="3"/>
        </w:numPr>
        <w:spacing w:line="240" w:lineRule="auto"/>
      </w:pPr>
      <w:r w:rsidRPr="00CF36AC">
        <w:rPr>
          <w:b/>
        </w:rPr>
        <w:t xml:space="preserve">Консультации с 9 до 18 </w:t>
      </w:r>
      <w:r>
        <w:t xml:space="preserve">- </w:t>
      </w:r>
      <w:r w:rsidRPr="00CF36AC">
        <w:rPr>
          <w:b/>
        </w:rPr>
        <w:t>Консультации с 18 до 23 - Консультации с 23 до 8</w:t>
      </w:r>
      <w:r>
        <w:t xml:space="preserve"> – в состав услуги входит консультация пользователей по вопросам работы с ККМ, решение возникших неполадок путем </w:t>
      </w:r>
      <w:proofErr w:type="gramStart"/>
      <w:r>
        <w:t>телефонных  консультаций</w:t>
      </w:r>
      <w:proofErr w:type="gramEnd"/>
      <w:r>
        <w:t>, удаленное (по телефону) программирование автономных ККМ</w:t>
      </w:r>
      <w:r w:rsidR="00174432">
        <w:t xml:space="preserve">, консультации по правовым и нормативным вопросам (в рамках сферы деятельности ЦТО). </w:t>
      </w:r>
      <w:r>
        <w:t xml:space="preserve"> Услуга оказывается в указанное время. В случае обращения пользователя вне диапазона указанного времени взымается дополнительная плата согласно прейскуранту</w:t>
      </w:r>
      <w:r w:rsidR="00174432">
        <w:t xml:space="preserve"> или в обращении отказывается</w:t>
      </w:r>
      <w:r>
        <w:t>.</w:t>
      </w:r>
    </w:p>
    <w:p w:rsidR="00174432" w:rsidRDefault="00174432" w:rsidP="001103F3">
      <w:pPr>
        <w:pStyle w:val="a4"/>
        <w:numPr>
          <w:ilvl w:val="0"/>
          <w:numId w:val="3"/>
        </w:numPr>
        <w:spacing w:line="240" w:lineRule="auto"/>
      </w:pPr>
      <w:r w:rsidRPr="00174432">
        <w:rPr>
          <w:b/>
        </w:rPr>
        <w:t>Выезд инженера с 9 до 18 - Выезд инженера с 18 до 23 - Выезд инженера с 23 до 8</w:t>
      </w:r>
      <w:r>
        <w:t xml:space="preserve"> -  в состав услуги входит выезд инженера в период и сроки указанные в услуге, а так же в зависимости от выбранных услуг с кодами 7,11,12,13. Выезжающий инженер прибывает к заказчику для оперативного устранения неисправности и ремонта на месте (когда это возможно), замене ЭКЛЗ у заказчика, консультаций по обслуживаемому оборудованию, когда это невозможно сделать удаленно. Оборудование, которое не может быть отремонтировано на месте, в зависимости от выбранной услуги с кодом 9, либо доставляется в ремонт инженером, либо передается заказчику для доставки в стационарный ремонт ЦТО.</w:t>
      </w:r>
    </w:p>
    <w:p w:rsidR="00174432" w:rsidRDefault="00174432" w:rsidP="001103F3">
      <w:pPr>
        <w:pStyle w:val="a4"/>
        <w:numPr>
          <w:ilvl w:val="0"/>
          <w:numId w:val="3"/>
        </w:numPr>
        <w:spacing w:line="240" w:lineRule="auto"/>
      </w:pPr>
      <w:r w:rsidRPr="00174432">
        <w:rPr>
          <w:b/>
        </w:rPr>
        <w:t>Выезд и консультации в выходные и праздничные дни</w:t>
      </w:r>
      <w:r>
        <w:t xml:space="preserve"> – подразумевает выезд или консультацию в выходные и праздничные дни</w:t>
      </w:r>
      <w:r w:rsidR="00333CE6">
        <w:t xml:space="preserve"> в рамках тех услуг и временных периодов, которые были выбраны. Т.е. Если выбрана услуга «консультации с 9 до 18» и «</w:t>
      </w:r>
      <w:r w:rsidR="00333CE6" w:rsidRPr="00174432">
        <w:rPr>
          <w:b/>
        </w:rPr>
        <w:t xml:space="preserve">Выезд и консультации в </w:t>
      </w:r>
      <w:r w:rsidR="00333CE6" w:rsidRPr="00174432">
        <w:rPr>
          <w:b/>
        </w:rPr>
        <w:lastRenderedPageBreak/>
        <w:t>выходные и праздничные дни</w:t>
      </w:r>
      <w:r w:rsidR="00333CE6">
        <w:t>», то в выходные и праздничные консультация будет осуществляться с 9 до 18. Выезд осуществляться не будет. Для того, что бы инженер выехал в данной ситуации необходимо либо оплатить выезд и работу инженера отдельно, согласно действующему прейскуранту, либо включить так же услугу «Выезд инженера с 9 до 18».</w:t>
      </w:r>
    </w:p>
    <w:p w:rsidR="00333CE6" w:rsidRPr="00333CE6" w:rsidRDefault="00333CE6" w:rsidP="001103F3">
      <w:pPr>
        <w:pStyle w:val="a4"/>
        <w:numPr>
          <w:ilvl w:val="0"/>
          <w:numId w:val="3"/>
        </w:numPr>
        <w:spacing w:line="240" w:lineRule="auto"/>
        <w:rPr>
          <w:b/>
        </w:rPr>
      </w:pPr>
      <w:r w:rsidRPr="00333CE6">
        <w:rPr>
          <w:b/>
        </w:rPr>
        <w:t>Доставка документов, счетов, актов выполненных работ</w:t>
      </w:r>
      <w:r>
        <w:rPr>
          <w:b/>
        </w:rPr>
        <w:t xml:space="preserve"> – </w:t>
      </w:r>
      <w:r>
        <w:t>подразумевает доставку документов по всему спектру обслуживаемого оборудования в офис к заказчику в кратчайшие сроки (при нахождении офиса заказчика в черте города).</w:t>
      </w:r>
    </w:p>
    <w:p w:rsidR="00333CE6" w:rsidRDefault="00333CE6" w:rsidP="001103F3">
      <w:pPr>
        <w:pStyle w:val="a4"/>
        <w:numPr>
          <w:ilvl w:val="0"/>
          <w:numId w:val="3"/>
        </w:numPr>
        <w:spacing w:line="240" w:lineRule="auto"/>
      </w:pPr>
      <w:r w:rsidRPr="00333CE6">
        <w:rPr>
          <w:b/>
        </w:rPr>
        <w:t>Оформление документов о замене ЭКЛЗ и ФП, смене места установки, замене ЖКО</w:t>
      </w:r>
      <w:r>
        <w:t xml:space="preserve"> – подразумевает подготовку всех необходимых документов. А именно: при замене ЭКЛЗ – подготовка формы КМ-2, заполнения заявления на замену ЭКЛЗ, заполнение паспорта ЭКЛЗ, занесение отметок </w:t>
      </w:r>
      <w:r w:rsidR="00DF335E">
        <w:t xml:space="preserve">в паспорт ККМ, отметка в учетном талоне ККМ; при смене места установки – заполнение заявления на смену места установки; при замене ЖКО – заполнение заявления на замену ЖКО. Данная услуга предоставляется совместно с услугой «Доставка документов, счетов, актов выполненных работ» и означает, что все перечисленные документы будут переданы нашими силами заказчику на подпись (либо курьером, если заказчик находится в черте города, </w:t>
      </w:r>
      <w:bookmarkStart w:id="0" w:name="_GoBack"/>
      <w:bookmarkEnd w:id="0"/>
      <w:r w:rsidR="00DF335E">
        <w:t>либо по почте в противном случае), подписанные документы переданы в налоговые органы, получены обратно после обработки и переданы заказчику. В случае отказа от данной услуги при замене ЭКЛЗ будут составляться только акт КМ-2 и передаваться заказчику вместе с фискальными отчетами. Заказчик самостоятельно составляет и подает заявление в налоговые органы. Все остальные услуги по составлению документов не оказываются.</w:t>
      </w:r>
    </w:p>
    <w:p w:rsidR="00DF335E" w:rsidRDefault="00DF335E" w:rsidP="001103F3">
      <w:pPr>
        <w:pStyle w:val="a4"/>
        <w:numPr>
          <w:ilvl w:val="0"/>
          <w:numId w:val="3"/>
        </w:numPr>
        <w:spacing w:line="240" w:lineRule="auto"/>
      </w:pPr>
      <w:r w:rsidRPr="00DF335E">
        <w:rPr>
          <w:b/>
        </w:rPr>
        <w:t>Доставка оборудования в ЦТО для ремонта и обратно</w:t>
      </w:r>
      <w:r>
        <w:t xml:space="preserve"> – подразумевает наличие одной из услуг «Выезд инженера».  Если по прибытии к заказчику инженер устанавливает необходимость стационарного ремонта, то при наличии данной услуги доставка оборудования в ЦТО и обратно будет происходить с</w:t>
      </w:r>
      <w:r w:rsidR="00471EA1">
        <w:t>итами ЦТО. Если данная услуга не оказывается, то заказчик доставляет оборудование в ЦТО за свой счёт либо оплачивает доставку оборудования согласно прейскуранту.</w:t>
      </w:r>
    </w:p>
    <w:p w:rsidR="00471EA1" w:rsidRDefault="00471EA1" w:rsidP="001103F3">
      <w:pPr>
        <w:pStyle w:val="a4"/>
        <w:numPr>
          <w:ilvl w:val="0"/>
          <w:numId w:val="3"/>
        </w:numPr>
        <w:spacing w:line="240" w:lineRule="auto"/>
      </w:pPr>
      <w:r>
        <w:rPr>
          <w:b/>
        </w:rPr>
        <w:t xml:space="preserve">Срок реакции от 1 до 4ех часов - Срок реакции от 4 до 8 часов - Срок реакции от 8 до 16 </w:t>
      </w:r>
      <w:proofErr w:type="gramStart"/>
      <w:r>
        <w:rPr>
          <w:b/>
        </w:rPr>
        <w:t>часов  -</w:t>
      </w:r>
      <w:proofErr w:type="gramEnd"/>
      <w:r>
        <w:rPr>
          <w:b/>
        </w:rPr>
        <w:t xml:space="preserve"> </w:t>
      </w:r>
      <w:r>
        <w:t>определяет срок, в течении которого прибудет инженер на объект. Срок от одного до четырех часов фактически означает что инженер подготовится и выедет на объект в течении часа. Крайний срок прибытия инженера на объект не позже 4ех часов с момента обращения. Аналогичный алгоритм применяется и на для остальных сроков реакций. Данная услуга подразумевает наличие одной из услуг «Выезд инженера», при этом время приезда инженера ограничивается так же и от времени оказания этой услуги.</w:t>
      </w:r>
      <w:r w:rsidR="008B6A7F">
        <w:t xml:space="preserve"> При поступлении вызова за час до конца периода  оказания услуги «Выезд инженера» оказание услуги может быть перенесено на следующий день, но не позднее срока реакции. </w:t>
      </w:r>
      <w:r>
        <w:t xml:space="preserve"> Например</w:t>
      </w:r>
      <w:r w:rsidR="008B6A7F">
        <w:t>,</w:t>
      </w:r>
      <w:r>
        <w:t xml:space="preserve"> если оказывается услуга «Выезд инженера с 9 до 18» и услуга «Срок реакции от 1 до 4 часов», то при поступлении вызова в 1</w:t>
      </w:r>
      <w:r w:rsidR="008B6A7F">
        <w:t>7</w:t>
      </w:r>
      <w:r>
        <w:t xml:space="preserve">-00 </w:t>
      </w:r>
      <w:r w:rsidR="008B6A7F">
        <w:t>инженер постарается выехать и прибыть к заказчику до 18-00</w:t>
      </w:r>
      <w:r>
        <w:t>.</w:t>
      </w:r>
      <w:r w:rsidR="008B6A7F">
        <w:t xml:space="preserve"> В случае невозможности прибытия до 18-00 инженер прибудет на следующий день с 9-00 до 12-00. Если следующий день выходной и не выбрана услуга «Выезд и консультации в выходные и праздничные дни», то инженер прибудет в первый рабочий день после выходных, либо за отдельную плату согласно прейскуранту.</w:t>
      </w:r>
    </w:p>
    <w:p w:rsidR="00471EA1" w:rsidRDefault="008B6A7F" w:rsidP="001103F3">
      <w:pPr>
        <w:pStyle w:val="a4"/>
        <w:numPr>
          <w:ilvl w:val="0"/>
          <w:numId w:val="3"/>
        </w:numPr>
        <w:spacing w:line="240" w:lineRule="auto"/>
      </w:pPr>
      <w:r w:rsidRPr="008B6A7F">
        <w:rPr>
          <w:b/>
        </w:rPr>
        <w:t>Коэффициенты</w:t>
      </w:r>
      <w:r>
        <w:t xml:space="preserve"> – множитель, увеличивающий или уменьшающий стоимость обслуживания в зависимости от города в котором производится обслуживание оборудования. Множитель применяется на полную сумму выбранных услуг.</w:t>
      </w:r>
    </w:p>
    <w:p w:rsidR="007C57F4" w:rsidRDefault="008B6A7F" w:rsidP="001103F3">
      <w:pPr>
        <w:pStyle w:val="a4"/>
        <w:numPr>
          <w:ilvl w:val="0"/>
          <w:numId w:val="3"/>
        </w:numPr>
        <w:spacing w:line="240" w:lineRule="auto"/>
      </w:pPr>
      <w:r w:rsidRPr="008B6A7F">
        <w:rPr>
          <w:b/>
        </w:rPr>
        <w:t>Автономная ККМ - Весы с печатью этикеток - Весы без печати этикеток, электронные</w:t>
      </w:r>
      <w:r>
        <w:t xml:space="preserve"> – множитель, увеличивающий или уменьшающий стоимость обслуживания в зависимости от вида оборудования.</w:t>
      </w:r>
    </w:p>
    <w:p w:rsidR="007C57F4" w:rsidRDefault="007C57F4" w:rsidP="001103F3">
      <w:pPr>
        <w:spacing w:line="240" w:lineRule="auto"/>
        <w:jc w:val="both"/>
      </w:pPr>
      <w:r>
        <w:t>Выбранный список услуг определяет стоимость одной единицы оборудования в месяц. Периодичность выставления счетов за обслуживание может быть изменена на поквартальные и годовые. Годовые подразумевают предоплату.  Изменить список услуг можно только с первого числа месяца. Список услуг является приложением к договору и представляет собой соглашение об уровне сервиса. Данная анкета является подтверждением намерений заказчика о заключении договора сервисного обслуживания.</w:t>
      </w:r>
    </w:p>
    <w:p w:rsidR="007C57F4" w:rsidRDefault="007C57F4" w:rsidP="001103F3">
      <w:pPr>
        <w:spacing w:line="240" w:lineRule="auto"/>
        <w:jc w:val="both"/>
      </w:pPr>
      <w:r>
        <w:t>Дополнительные сведения:</w:t>
      </w:r>
    </w:p>
    <w:p w:rsidR="007C57F4" w:rsidRDefault="007C57F4" w:rsidP="001103F3">
      <w:pPr>
        <w:spacing w:line="240" w:lineRule="auto"/>
        <w:jc w:val="both"/>
      </w:pPr>
      <w:r>
        <w:lastRenderedPageBreak/>
        <w:t>Юридическое лицо:______________________________</w:t>
      </w:r>
    </w:p>
    <w:p w:rsidR="007C57F4" w:rsidRDefault="007C57F4" w:rsidP="001103F3">
      <w:pPr>
        <w:spacing w:line="240" w:lineRule="auto"/>
        <w:jc w:val="both"/>
      </w:pPr>
      <w:r>
        <w:t>ИНН:____________________________________</w:t>
      </w:r>
    </w:p>
    <w:p w:rsidR="007C57F4" w:rsidRDefault="007C57F4" w:rsidP="001103F3">
      <w:pPr>
        <w:spacing w:line="240" w:lineRule="auto"/>
        <w:jc w:val="both"/>
      </w:pPr>
      <w:r>
        <w:t>Подпись заявителя:________________________          /__________________________/ дата_____________</w:t>
      </w:r>
    </w:p>
    <w:p w:rsidR="0085551E" w:rsidRDefault="0085551E" w:rsidP="001103F3">
      <w:pPr>
        <w:spacing w:line="240" w:lineRule="auto"/>
        <w:jc w:val="both"/>
      </w:pPr>
    </w:p>
    <w:p w:rsidR="0085551E" w:rsidRDefault="0085551E" w:rsidP="001103F3">
      <w:pPr>
        <w:spacing w:line="240" w:lineRule="auto"/>
        <w:jc w:val="both"/>
      </w:pPr>
    </w:p>
    <w:p w:rsidR="0085551E" w:rsidRDefault="0085551E" w:rsidP="001103F3">
      <w:pPr>
        <w:spacing w:line="240" w:lineRule="auto"/>
        <w:jc w:val="both"/>
      </w:pPr>
    </w:p>
    <w:p w:rsidR="0085551E" w:rsidRDefault="0085551E" w:rsidP="001103F3">
      <w:pPr>
        <w:spacing w:line="240" w:lineRule="auto"/>
        <w:jc w:val="both"/>
      </w:pPr>
    </w:p>
    <w:p w:rsidR="0085551E" w:rsidRDefault="0085551E" w:rsidP="001103F3">
      <w:pPr>
        <w:spacing w:line="240" w:lineRule="auto"/>
        <w:jc w:val="both"/>
      </w:pPr>
    </w:p>
    <w:p w:rsidR="007C57F4" w:rsidRDefault="007C57F4" w:rsidP="001103F3">
      <w:pPr>
        <w:spacing w:line="240" w:lineRule="auto"/>
        <w:jc w:val="both"/>
      </w:pPr>
      <w:r>
        <w:t>Так же для заключения договора необходимо предоставить следующие данные: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ИНН (копию)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КПП (КПП обособленного подразделения (копию</w:t>
      </w:r>
      <w:proofErr w:type="gramStart"/>
      <w:r>
        <w:t>) )</w:t>
      </w:r>
      <w:proofErr w:type="gramEnd"/>
      <w:r>
        <w:t xml:space="preserve"> 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ФИО Директора, на основании чего действует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ФИО Бухгалтера (если есть)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Юридический адрес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Фактический адрес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Адрес электронной почты (</w:t>
      </w:r>
      <w:r w:rsidR="00D30DDE">
        <w:t>ОБЯЗАТЕЛЬНО!</w:t>
      </w:r>
      <w:r>
        <w:t>)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Банковские реквизиты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Организационно правовая форма и название организации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Основной ОКВЭД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Номер контактного телефона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ОКПО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ОГРН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Серия, номер и дата выдачи свидетельства о регистрации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Почтовый индекс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Точный адрес места установки кассы (</w:t>
      </w:r>
      <w:proofErr w:type="spellStart"/>
      <w:r>
        <w:t>гос</w:t>
      </w:r>
      <w:proofErr w:type="spellEnd"/>
      <w:r>
        <w:t xml:space="preserve"> номер машины осуществляющей выездную торговлю, торговая марка)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</w:pPr>
      <w:r>
        <w:t>Наименование места установки кассы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  <w:rPr>
          <w:color w:val="FF0000"/>
        </w:rPr>
      </w:pPr>
      <w:r>
        <w:rPr>
          <w:color w:val="FF0000"/>
        </w:rPr>
        <w:t>Наименование организации (ФИО индивидуального предпринимателя) предоставившего в пользование (аренду) помещение, в котором установлена касса.</w:t>
      </w:r>
    </w:p>
    <w:p w:rsidR="007C57F4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  <w:rPr>
          <w:color w:val="FF0000"/>
        </w:rPr>
      </w:pPr>
      <w:r>
        <w:rPr>
          <w:color w:val="FF0000"/>
        </w:rPr>
        <w:t>ИНН организации (индивидуального предпринимателя) предоставившего в пользование (аренду) помещение, в котором установлена касса.</w:t>
      </w:r>
    </w:p>
    <w:p w:rsidR="00567C7E" w:rsidRPr="0085551E" w:rsidRDefault="007C57F4" w:rsidP="001103F3">
      <w:pPr>
        <w:pStyle w:val="a4"/>
        <w:numPr>
          <w:ilvl w:val="0"/>
          <w:numId w:val="4"/>
        </w:numPr>
        <w:spacing w:line="240" w:lineRule="auto"/>
        <w:contextualSpacing w:val="0"/>
        <w:rPr>
          <w:color w:val="FF0000"/>
        </w:rPr>
      </w:pPr>
      <w:r>
        <w:rPr>
          <w:color w:val="FF0000"/>
        </w:rPr>
        <w:t>Номер и дата заключения договора с организацией (индивидуальным предпринимателем) предоставившей в пользование (аренду) помещение, в котором установлена касса.</w:t>
      </w:r>
    </w:p>
    <w:sectPr w:rsidR="00567C7E" w:rsidRPr="0085551E" w:rsidSect="0080159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53" w:rsidRDefault="00296D53" w:rsidP="001103F3">
      <w:pPr>
        <w:spacing w:after="0" w:line="240" w:lineRule="auto"/>
      </w:pPr>
      <w:r>
        <w:separator/>
      </w:r>
    </w:p>
  </w:endnote>
  <w:endnote w:type="continuationSeparator" w:id="0">
    <w:p w:rsidR="00296D53" w:rsidRDefault="00296D53" w:rsidP="0011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53" w:rsidRDefault="00296D53" w:rsidP="001103F3">
      <w:pPr>
        <w:spacing w:after="0" w:line="240" w:lineRule="auto"/>
      </w:pPr>
      <w:r>
        <w:separator/>
      </w:r>
    </w:p>
  </w:footnote>
  <w:footnote w:type="continuationSeparator" w:id="0">
    <w:p w:rsidR="00296D53" w:rsidRDefault="00296D53" w:rsidP="0011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F3" w:rsidRDefault="00E025EC">
    <w:pPr>
      <w:pStyle w:val="a5"/>
    </w:pPr>
    <w:r w:rsidRPr="00E025EC">
      <w:rPr>
        <w:noProof/>
        <w:lang w:eastAsia="ru-RU"/>
      </w:rPr>
      <w:drawing>
        <wp:inline distT="0" distB="0" distL="0" distR="0">
          <wp:extent cx="6645910" cy="591450"/>
          <wp:effectExtent l="0" t="0" r="0" b="0"/>
          <wp:docPr id="3" name="Рисунок 3" descr="C:\Users\vyudina.FORMULA-T\Documents\ДИЗАЙН\Шапка ФТ на прозрачном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yudina.FORMULA-T\Documents\ДИЗАЙН\Шапка ФТ на прозрачном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9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7E7E"/>
    <w:multiLevelType w:val="hybridMultilevel"/>
    <w:tmpl w:val="BADAE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B6482"/>
    <w:multiLevelType w:val="hybridMultilevel"/>
    <w:tmpl w:val="90267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24635"/>
    <w:multiLevelType w:val="hybridMultilevel"/>
    <w:tmpl w:val="1248D274"/>
    <w:lvl w:ilvl="0" w:tplc="60B22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655AA7"/>
    <w:multiLevelType w:val="hybridMultilevel"/>
    <w:tmpl w:val="D22C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53"/>
    <w:rsid w:val="000A3C08"/>
    <w:rsid w:val="001103F3"/>
    <w:rsid w:val="00174432"/>
    <w:rsid w:val="001B1753"/>
    <w:rsid w:val="00296D53"/>
    <w:rsid w:val="00333CE6"/>
    <w:rsid w:val="00346525"/>
    <w:rsid w:val="003916B2"/>
    <w:rsid w:val="003B1B4C"/>
    <w:rsid w:val="00471EA1"/>
    <w:rsid w:val="00490D29"/>
    <w:rsid w:val="004A20AB"/>
    <w:rsid w:val="00533D37"/>
    <w:rsid w:val="005412CF"/>
    <w:rsid w:val="00552F1A"/>
    <w:rsid w:val="00567C7E"/>
    <w:rsid w:val="006D61B6"/>
    <w:rsid w:val="007C57F4"/>
    <w:rsid w:val="0080159D"/>
    <w:rsid w:val="0085551E"/>
    <w:rsid w:val="008B6A7F"/>
    <w:rsid w:val="00CF36AC"/>
    <w:rsid w:val="00D30DDE"/>
    <w:rsid w:val="00DE15F4"/>
    <w:rsid w:val="00DF335E"/>
    <w:rsid w:val="00E025EC"/>
    <w:rsid w:val="00F5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D5B67-8F50-434A-8BF7-50DEB555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C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1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03F3"/>
  </w:style>
  <w:style w:type="paragraph" w:styleId="a7">
    <w:name w:val="footer"/>
    <w:basedOn w:val="a"/>
    <w:link w:val="a8"/>
    <w:uiPriority w:val="99"/>
    <w:unhideWhenUsed/>
    <w:rsid w:val="0011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03F3"/>
  </w:style>
  <w:style w:type="paragraph" w:styleId="a9">
    <w:name w:val="Balloon Text"/>
    <w:basedOn w:val="a"/>
    <w:link w:val="aa"/>
    <w:uiPriority w:val="99"/>
    <w:semiHidden/>
    <w:unhideWhenUsed/>
    <w:rsid w:val="001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0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Скуратович</dc:creator>
  <cp:keywords/>
  <dc:description/>
  <cp:lastModifiedBy>Виктория Ю. Юдина</cp:lastModifiedBy>
  <cp:revision>8</cp:revision>
  <cp:lastPrinted>2013-04-24T12:37:00Z</cp:lastPrinted>
  <dcterms:created xsi:type="dcterms:W3CDTF">2013-04-24T10:17:00Z</dcterms:created>
  <dcterms:modified xsi:type="dcterms:W3CDTF">2013-08-26T11:06:00Z</dcterms:modified>
</cp:coreProperties>
</file>